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0" w:firstLineChars="200"/>
        <w:jc w:val="center"/>
        <w:rPr>
          <w:rFonts w:hint="eastAsia" w:ascii="方正小标宋简体" w:hAnsi="仿宋" w:eastAsia="方正小标宋简体" w:cs="方正仿宋简体"/>
          <w:b w:val="0"/>
          <w:bCs w:val="0"/>
          <w:color w:val="000000" w:themeColor="text1"/>
          <w:sz w:val="32"/>
          <w:szCs w:val="32"/>
        </w:rPr>
      </w:pPr>
      <w:r>
        <w:rPr>
          <w:rFonts w:hint="eastAsia" w:ascii="方正小标宋简体" w:hAnsi="仿宋" w:eastAsia="方正小标宋简体" w:cs="方正仿宋简体"/>
          <w:b w:val="0"/>
          <w:bCs w:val="0"/>
          <w:color w:val="000000" w:themeColor="text1"/>
          <w:sz w:val="32"/>
          <w:szCs w:val="32"/>
        </w:rPr>
        <w:t>济宁市树脂锚杆锚固剂产品质量监督抽查实施细则</w:t>
      </w:r>
    </w:p>
    <w:p>
      <w:pPr>
        <w:spacing w:line="360" w:lineRule="auto"/>
        <w:ind w:firstLine="640" w:firstLineChars="200"/>
        <w:jc w:val="center"/>
        <w:rPr>
          <w:rFonts w:hint="eastAsia" w:ascii="方正小标宋简体" w:hAnsi="仿宋" w:eastAsia="方正小标宋简体" w:cs="方正仿宋简体"/>
          <w:b w:val="0"/>
          <w:bCs w:val="0"/>
          <w:color w:val="000000" w:themeColor="text1"/>
          <w:sz w:val="32"/>
          <w:szCs w:val="32"/>
          <w:lang w:eastAsia="zh-CN"/>
        </w:rPr>
      </w:pPr>
      <w:r>
        <w:rPr>
          <w:rFonts w:hint="eastAsia" w:ascii="方正小标宋简体" w:hAnsi="仿宋" w:eastAsia="方正小标宋简体" w:cs="方正仿宋简体"/>
          <w:b w:val="0"/>
          <w:bCs w:val="0"/>
          <w:color w:val="000000" w:themeColor="text1"/>
          <w:sz w:val="32"/>
          <w:szCs w:val="32"/>
          <w:lang w:eastAsia="zh-CN"/>
        </w:rPr>
        <w:t>（</w:t>
      </w:r>
      <w:r>
        <w:rPr>
          <w:rFonts w:hint="eastAsia" w:ascii="方正小标宋简体" w:hAnsi="仿宋" w:eastAsia="方正小标宋简体" w:cs="方正仿宋简体"/>
          <w:b w:val="0"/>
          <w:bCs w:val="0"/>
          <w:color w:val="000000" w:themeColor="text1"/>
          <w:sz w:val="32"/>
          <w:szCs w:val="32"/>
          <w:lang w:val="en-US" w:eastAsia="zh-CN"/>
        </w:rPr>
        <w:t>2024年版</w:t>
      </w:r>
      <w:r>
        <w:rPr>
          <w:rFonts w:hint="eastAsia" w:ascii="方正小标宋简体" w:hAnsi="仿宋" w:eastAsia="方正小标宋简体" w:cs="方正仿宋简体"/>
          <w:b w:val="0"/>
          <w:bCs w:val="0"/>
          <w:color w:val="000000" w:themeColor="text1"/>
          <w:sz w:val="32"/>
          <w:szCs w:val="32"/>
          <w:lang w:eastAsia="zh-CN"/>
        </w:rPr>
        <w:t>）</w:t>
      </w:r>
    </w:p>
    <w:p>
      <w:pPr>
        <w:keepNext w:val="0"/>
        <w:keepLines w:val="0"/>
        <w:pageBreakBefore w:val="0"/>
        <w:widowControl w:val="0"/>
        <w:numPr>
          <w:ilvl w:val="0"/>
          <w:numId w:val="1"/>
        </w:numPr>
        <w:kinsoku/>
        <w:wordWrap/>
        <w:overflowPunct/>
        <w:topLinePunct w:val="0"/>
        <w:bidi w:val="0"/>
        <w:snapToGrid w:val="0"/>
        <w:spacing w:line="360" w:lineRule="auto"/>
        <w:textAlignment w:val="auto"/>
        <w:rPr>
          <w:rFonts w:ascii="黑体" w:hAnsi="黑体" w:eastAsia="黑体" w:cs="黑体"/>
          <w:b w:val="0"/>
          <w:bCs w:val="0"/>
          <w:sz w:val="21"/>
          <w:szCs w:val="21"/>
        </w:rPr>
      </w:pPr>
      <w:r>
        <w:rPr>
          <w:rFonts w:hint="eastAsia" w:ascii="黑体" w:hAnsi="黑体" w:eastAsia="黑体" w:cs="黑体"/>
          <w:b w:val="0"/>
          <w:bCs w:val="0"/>
          <w:sz w:val="21"/>
          <w:szCs w:val="21"/>
        </w:rPr>
        <w:t>抽样</w:t>
      </w:r>
    </w:p>
    <w:p>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cs="宋体"/>
          <w:sz w:val="21"/>
          <w:szCs w:val="21"/>
          <w:lang w:val="en-US" w:eastAsia="zh-CN"/>
        </w:rPr>
      </w:pPr>
      <w:r>
        <w:rPr>
          <w:rFonts w:hint="eastAsia" w:ascii="宋体" w:hAnsi="宋体" w:cs="宋体"/>
          <w:sz w:val="21"/>
          <w:szCs w:val="21"/>
          <w:lang w:val="en-US" w:eastAsia="zh-CN"/>
        </w:rPr>
        <w:t>1.</w:t>
      </w:r>
      <w:r>
        <w:rPr>
          <w:rFonts w:hint="eastAsia" w:ascii="宋体" w:hAnsi="宋体" w:cs="宋体"/>
          <w:sz w:val="21"/>
          <w:szCs w:val="21"/>
        </w:rPr>
        <w:t>1抽样</w:t>
      </w:r>
      <w:r>
        <w:rPr>
          <w:rFonts w:hint="eastAsia" w:ascii="宋体" w:hAnsi="宋体" w:cs="宋体"/>
          <w:sz w:val="21"/>
          <w:szCs w:val="21"/>
          <w:lang w:val="en-US" w:eastAsia="zh-CN"/>
        </w:rPr>
        <w:t>方法</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ascii="Times New Roman" w:hAnsi="Times New Roman" w:eastAsia="宋体" w:cs="Times New Roman"/>
          <w:szCs w:val="21"/>
        </w:rPr>
      </w:pPr>
      <w:r>
        <w:rPr>
          <w:rFonts w:hint="eastAsia" w:ascii="Times New Roman" w:hAnsi="Times New Roman" w:eastAsia="宋体" w:cs="Times New Roman"/>
          <w:szCs w:val="21"/>
        </w:rPr>
        <w:t>以随机抽样的方式在被抽样生产者、销售者的待销产品中抽取。</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ascii="Times New Roman" w:hAnsi="Times New Roman"/>
          <w:szCs w:val="21"/>
        </w:rPr>
      </w:pPr>
      <w:r>
        <w:rPr>
          <w:rFonts w:hint="eastAsia" w:ascii="Times New Roman" w:hAnsi="Times New Roman"/>
          <w:szCs w:val="21"/>
        </w:rPr>
        <w:t>随机数一般可使用随机数表等方法产生。</w:t>
      </w:r>
    </w:p>
    <w:p>
      <w:pPr>
        <w:keepNext w:val="0"/>
        <w:keepLines w:val="0"/>
        <w:pageBreakBefore w:val="0"/>
        <w:widowControl w:val="0"/>
        <w:kinsoku/>
        <w:wordWrap/>
        <w:overflowPunct/>
        <w:topLinePunct w:val="0"/>
        <w:bidi w:val="0"/>
        <w:spacing w:line="360" w:lineRule="auto"/>
        <w:ind w:firstLine="420" w:firstLineChars="200"/>
        <w:textAlignment w:val="auto"/>
        <w:rPr>
          <w:rFonts w:ascii="宋体" w:hAnsi="宋体" w:cs="宋体"/>
          <w:sz w:val="21"/>
          <w:szCs w:val="21"/>
        </w:rPr>
      </w:pPr>
      <w:r>
        <w:rPr>
          <w:rFonts w:hint="eastAsia" w:ascii="宋体" w:hAnsi="宋体" w:cs="宋体"/>
          <w:sz w:val="21"/>
          <w:szCs w:val="21"/>
        </w:rPr>
        <w:t>对于树脂锚杆</w:t>
      </w:r>
      <w:r>
        <w:rPr>
          <w:rFonts w:hint="eastAsia" w:ascii="宋体" w:hAnsi="宋体" w:cs="宋体"/>
          <w:sz w:val="21"/>
          <w:szCs w:val="21"/>
          <w:lang w:val="en-US" w:eastAsia="zh-CN"/>
        </w:rPr>
        <w:t>锚固剂</w:t>
      </w:r>
      <w:r>
        <w:rPr>
          <w:rFonts w:hint="eastAsia" w:ascii="宋体" w:hAnsi="宋体" w:cs="宋体"/>
          <w:sz w:val="21"/>
          <w:szCs w:val="21"/>
        </w:rPr>
        <w:t>产品受检企业，在企业成品库</w:t>
      </w:r>
      <w:r>
        <w:rPr>
          <w:rFonts w:hint="eastAsia" w:ascii="宋体" w:hAnsi="宋体" w:cs="宋体"/>
          <w:sz w:val="21"/>
          <w:szCs w:val="21"/>
          <w:lang w:val="en-US" w:eastAsia="zh-CN"/>
        </w:rPr>
        <w:t>或生产车间</w:t>
      </w:r>
      <w:r>
        <w:rPr>
          <w:rFonts w:hint="eastAsia" w:ascii="宋体" w:hAnsi="宋体" w:cs="宋体"/>
          <w:sz w:val="21"/>
          <w:szCs w:val="21"/>
        </w:rPr>
        <w:t>随机抽取有合格证明或以其他形式表明合格的产品，抽取的样品应为同一型号、</w:t>
      </w:r>
      <w:r>
        <w:rPr>
          <w:rFonts w:hint="eastAsia" w:ascii="宋体" w:hAnsi="宋体" w:cs="宋体"/>
          <w:sz w:val="21"/>
          <w:szCs w:val="21"/>
          <w:lang w:val="en-US" w:eastAsia="zh-CN"/>
        </w:rPr>
        <w:t>同一长度直径</w:t>
      </w:r>
      <w:r>
        <w:rPr>
          <w:rFonts w:hint="eastAsia" w:ascii="宋体" w:hAnsi="宋体" w:cs="宋体"/>
          <w:sz w:val="21"/>
          <w:szCs w:val="21"/>
        </w:rPr>
        <w:t>、同一批次的产品。对所抽取的树脂锚</w:t>
      </w:r>
      <w:r>
        <w:rPr>
          <w:rFonts w:hint="eastAsia" w:ascii="宋体" w:hAnsi="宋体" w:cs="宋体"/>
          <w:sz w:val="21"/>
          <w:szCs w:val="21"/>
          <w:lang w:val="en-US" w:eastAsia="zh-CN"/>
        </w:rPr>
        <w:t>锚固剂</w:t>
      </w:r>
      <w:r>
        <w:rPr>
          <w:rFonts w:hint="eastAsia" w:ascii="宋体" w:hAnsi="宋体" w:cs="宋体"/>
          <w:sz w:val="21"/>
          <w:szCs w:val="21"/>
        </w:rPr>
        <w:t>样品分别单独封样（含检样和备样）。</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抽样基数：</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sz w:val="21"/>
          <w:szCs w:val="21"/>
        </w:rPr>
      </w:pPr>
      <w:r>
        <w:rPr>
          <w:rFonts w:hint="eastAsia" w:ascii="宋体" w:hAnsi="宋体"/>
          <w:sz w:val="21"/>
          <w:szCs w:val="21"/>
        </w:rPr>
        <w:t>满足抽样数量即可。</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ascii="Times New Roman" w:hAnsi="Times New Roman" w:eastAsia="宋体" w:cs="Times New Roman"/>
          <w:szCs w:val="21"/>
        </w:rPr>
      </w:pPr>
      <w:r>
        <w:rPr>
          <w:rFonts w:hint="eastAsia" w:ascii="Times New Roman" w:hAnsi="Times New Roman" w:eastAsia="宋体" w:cs="Times New Roman"/>
          <w:szCs w:val="21"/>
        </w:rPr>
        <w:t>1.3</w:t>
      </w:r>
      <w:r>
        <w:rPr>
          <w:rFonts w:ascii="Times New Roman" w:hAnsi="Times New Roman" w:eastAsia="宋体" w:cs="Times New Roman"/>
          <w:szCs w:val="21"/>
        </w:rPr>
        <w:t xml:space="preserve"> </w:t>
      </w:r>
      <w:r>
        <w:rPr>
          <w:rFonts w:hint="eastAsia" w:ascii="Times New Roman" w:hAnsi="Times New Roman" w:eastAsia="宋体" w:cs="Times New Roman"/>
          <w:szCs w:val="21"/>
        </w:rPr>
        <w:t>抽样范围</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ascii="宋体" w:hAnsi="宋体" w:eastAsia="宋体" w:cs="宋体"/>
        </w:rPr>
      </w:pPr>
      <w:r>
        <w:t>随机抽取有产品质量检验合格证明或以其他形式表明合格的，近期生产的产品。</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cs="方正仿宋简体" w:asciiTheme="minorEastAsia" w:hAnsiTheme="minorEastAsia"/>
          <w:szCs w:val="21"/>
        </w:rPr>
      </w:pPr>
      <w:r>
        <w:rPr>
          <w:rFonts w:hint="eastAsia" w:ascii="宋体" w:hAnsi="宋体" w:eastAsia="宋体" w:cs="宋体"/>
        </w:rPr>
        <w:t>抽查产品种类包括：</w:t>
      </w:r>
      <w:r>
        <w:rPr>
          <w:rFonts w:hint="eastAsia" w:ascii="宋体" w:hAnsi="宋体" w:cs="宋体"/>
          <w:lang w:val="en-US" w:eastAsia="zh-CN"/>
        </w:rPr>
        <w:t>MSCKa、MSCKb、MSK、MSZ、MAM型锚固剂</w:t>
      </w:r>
      <w:r>
        <w:rPr>
          <w:rFonts w:hint="eastAsia" w:cs="方正仿宋简体" w:asciiTheme="minorEastAsia" w:hAnsiTheme="minorEastAsia"/>
          <w:szCs w:val="21"/>
        </w:rPr>
        <w:t>。</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ascii="Times New Roman" w:hAnsi="Times New Roman" w:eastAsia="宋体" w:cs="Times New Roman"/>
          <w:szCs w:val="21"/>
        </w:rPr>
      </w:pPr>
      <w:r>
        <w:rPr>
          <w:rFonts w:hint="eastAsia" w:ascii="Times New Roman" w:hAnsi="Times New Roman" w:eastAsia="宋体" w:cs="Times New Roman"/>
          <w:szCs w:val="21"/>
        </w:rPr>
        <w:t>1.4</w:t>
      </w:r>
      <w:r>
        <w:rPr>
          <w:rFonts w:ascii="Times New Roman" w:hAnsi="Times New Roman" w:eastAsia="宋体" w:cs="Times New Roman"/>
          <w:szCs w:val="21"/>
        </w:rPr>
        <w:t xml:space="preserve"> </w:t>
      </w:r>
      <w:r>
        <w:rPr>
          <w:rFonts w:hint="eastAsia" w:ascii="Times New Roman" w:hAnsi="Times New Roman" w:eastAsia="宋体" w:cs="Times New Roman"/>
          <w:szCs w:val="21"/>
        </w:rPr>
        <w:t>抽样数量</w:t>
      </w:r>
    </w:p>
    <w:p>
      <w:pPr>
        <w:pStyle w:val="8"/>
        <w:keepNext w:val="0"/>
        <w:keepLines w:val="0"/>
        <w:pageBreakBefore w:val="0"/>
        <w:widowControl w:val="0"/>
        <w:kinsoku/>
        <w:wordWrap/>
        <w:overflowPunct/>
        <w:topLinePunct w:val="0"/>
        <w:bidi w:val="0"/>
        <w:spacing w:line="360" w:lineRule="auto"/>
        <w:ind w:left="0" w:leftChars="0" w:firstLine="420" w:firstLineChars="200"/>
        <w:textAlignment w:val="auto"/>
        <w:rPr>
          <w:rFonts w:ascii="宋体" w:hAnsi="宋体"/>
          <w:kern w:val="0"/>
          <w:sz w:val="21"/>
          <w:szCs w:val="21"/>
        </w:rPr>
      </w:pPr>
      <w:r>
        <w:rPr>
          <w:rFonts w:hint="eastAsia" w:ascii="宋体" w:hAnsi="宋体"/>
          <w:kern w:val="0"/>
          <w:sz w:val="21"/>
          <w:szCs w:val="21"/>
        </w:rPr>
        <w:t>树脂锚杆</w:t>
      </w:r>
      <w:r>
        <w:rPr>
          <w:rFonts w:hint="eastAsia" w:ascii="宋体" w:hAnsi="宋体"/>
          <w:kern w:val="0"/>
          <w:sz w:val="21"/>
          <w:szCs w:val="21"/>
          <w:lang w:val="en-US" w:eastAsia="zh-CN"/>
        </w:rPr>
        <w:t>锚固剂</w:t>
      </w:r>
      <w:r>
        <w:rPr>
          <w:rFonts w:hint="eastAsia" w:ascii="宋体" w:hAnsi="宋体"/>
          <w:kern w:val="0"/>
          <w:sz w:val="21"/>
          <w:szCs w:val="21"/>
        </w:rPr>
        <w:t>抽检样品，首先随机确定抽检样品的类别（</w:t>
      </w:r>
      <w:r>
        <w:rPr>
          <w:rFonts w:hint="eastAsia" w:ascii="宋体" w:hAnsi="宋体"/>
          <w:kern w:val="0"/>
          <w:sz w:val="21"/>
          <w:szCs w:val="21"/>
          <w:lang w:val="en-US" w:eastAsia="zh-CN"/>
        </w:rPr>
        <w:t>MS</w:t>
      </w:r>
      <w:r>
        <w:rPr>
          <w:rFonts w:hint="eastAsia" w:ascii="宋体" w:hAnsi="宋体" w:cs="宋体"/>
          <w:lang w:val="en-US" w:eastAsia="zh-CN"/>
        </w:rPr>
        <w:t>CKa、MSCKb、MSK、MSZ、MAM</w:t>
      </w:r>
      <w:r>
        <w:rPr>
          <w:rFonts w:hint="eastAsia" w:ascii="宋体" w:hAnsi="宋体"/>
          <w:kern w:val="0"/>
          <w:sz w:val="21"/>
          <w:szCs w:val="21"/>
        </w:rPr>
        <w:t>）、</w:t>
      </w:r>
      <w:r>
        <w:rPr>
          <w:rFonts w:hint="eastAsia" w:ascii="宋体" w:hAnsi="宋体"/>
          <w:kern w:val="0"/>
          <w:sz w:val="21"/>
          <w:szCs w:val="21"/>
        </w:rPr>
        <w:t>长度直径（以受检单位生产使用实际随机确定）、生产批次。确定所抽样品</w:t>
      </w:r>
      <w:r>
        <w:rPr>
          <w:rFonts w:hint="eastAsia" w:ascii="宋体" w:hAnsi="宋体"/>
          <w:kern w:val="0"/>
          <w:sz w:val="21"/>
          <w:szCs w:val="21"/>
          <w:lang w:val="en-US" w:eastAsia="zh-CN"/>
        </w:rPr>
        <w:t>规格</w:t>
      </w:r>
      <w:r>
        <w:rPr>
          <w:rFonts w:hint="eastAsia" w:ascii="宋体" w:hAnsi="宋体"/>
          <w:kern w:val="0"/>
          <w:sz w:val="21"/>
          <w:szCs w:val="21"/>
        </w:rPr>
        <w:t>型号后随机抽取树脂锚杆锚固剂样</w:t>
      </w:r>
      <w:r>
        <w:rPr>
          <w:rFonts w:hint="eastAsia" w:ascii="宋体" w:hAnsi="宋体"/>
          <w:kern w:val="0"/>
          <w:sz w:val="21"/>
          <w:szCs w:val="21"/>
          <w:lang w:val="en-US" w:eastAsia="zh-CN"/>
        </w:rPr>
        <w:t>品</w:t>
      </w:r>
      <w:r>
        <w:rPr>
          <w:rFonts w:hint="eastAsia" w:ascii="宋体" w:hAnsi="宋体"/>
          <w:kern w:val="0"/>
          <w:sz w:val="21"/>
          <w:szCs w:val="21"/>
        </w:rPr>
        <w:t>40支，</w:t>
      </w:r>
      <w:r>
        <w:rPr>
          <w:rFonts w:hint="eastAsia" w:ascii="宋体" w:hAnsi="宋体"/>
          <w:kern w:val="0"/>
          <w:sz w:val="21"/>
          <w:szCs w:val="21"/>
          <w:lang w:val="en-US" w:eastAsia="zh-CN"/>
        </w:rPr>
        <w:t>其中</w:t>
      </w:r>
      <w:r>
        <w:rPr>
          <w:rFonts w:hint="eastAsia" w:ascii="宋体" w:hAnsi="宋体"/>
          <w:kern w:val="0"/>
          <w:sz w:val="21"/>
          <w:szCs w:val="21"/>
        </w:rPr>
        <w:t>20支为检验样品，另20支为备查样品。</w:t>
      </w:r>
    </w:p>
    <w:p>
      <w:pPr>
        <w:keepNext w:val="0"/>
        <w:keepLines w:val="0"/>
        <w:pageBreakBefore w:val="0"/>
        <w:widowControl w:val="0"/>
        <w:numPr>
          <w:ilvl w:val="0"/>
          <w:numId w:val="2"/>
        </w:numPr>
        <w:kinsoku/>
        <w:wordWrap/>
        <w:overflowPunct/>
        <w:topLinePunct w:val="0"/>
        <w:bidi w:val="0"/>
        <w:snapToGrid w:val="0"/>
        <w:spacing w:line="360" w:lineRule="auto"/>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检验依据</w:t>
      </w:r>
      <w:bookmarkStart w:id="0" w:name="_GoBack"/>
      <w:bookmarkEnd w:id="0"/>
    </w:p>
    <w:p>
      <w:pPr>
        <w:keepNext w:val="0"/>
        <w:keepLines w:val="0"/>
        <w:pageBreakBefore w:val="0"/>
        <w:widowControl w:val="0"/>
        <w:numPr>
          <w:ilvl w:val="0"/>
          <w:numId w:val="0"/>
        </w:numPr>
        <w:kinsoku/>
        <w:wordWrap/>
        <w:overflowPunct/>
        <w:topLinePunct w:val="0"/>
        <w:bidi w:val="0"/>
        <w:snapToGrid w:val="0"/>
        <w:spacing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抽查样品检验依据及检验项目按表1中规定执行。</w:t>
      </w:r>
    </w:p>
    <w:p>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color w:val="FF0000"/>
          <w:sz w:val="21"/>
          <w:szCs w:val="21"/>
        </w:rPr>
      </w:pPr>
      <w:r>
        <w:rPr>
          <w:rFonts w:hint="eastAsia" w:ascii="宋体" w:hAnsi="宋体" w:eastAsia="宋体" w:cs="宋体"/>
          <w:sz w:val="21"/>
          <w:szCs w:val="21"/>
        </w:rPr>
        <w:t>表1 树脂锚杆锚固剂产品检验项目</w:t>
      </w:r>
    </w:p>
    <w:tbl>
      <w:tblPr>
        <w:tblStyle w:val="4"/>
        <w:tblW w:w="8340" w:type="dxa"/>
        <w:tblInd w:w="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3030"/>
        <w:gridCol w:w="1705"/>
        <w:gridCol w:w="2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9" w:type="dxa"/>
            <w:vMerge w:val="restart"/>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sz w:val="21"/>
                <w:szCs w:val="21"/>
              </w:rPr>
            </w:pPr>
            <w:r>
              <w:rPr>
                <w:rFonts w:hint="eastAsia" w:ascii="宋体" w:hAnsi="宋体" w:cs="仿宋_GB2312"/>
                <w:sz w:val="21"/>
                <w:szCs w:val="21"/>
              </w:rPr>
              <w:t>序号</w:t>
            </w:r>
          </w:p>
        </w:tc>
        <w:tc>
          <w:tcPr>
            <w:tcW w:w="3030" w:type="dxa"/>
            <w:vMerge w:val="restart"/>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sz w:val="21"/>
                <w:szCs w:val="21"/>
              </w:rPr>
            </w:pPr>
            <w:r>
              <w:rPr>
                <w:rFonts w:hint="eastAsia" w:ascii="宋体" w:hAnsi="宋体" w:cs="仿宋_GB2312"/>
                <w:sz w:val="21"/>
                <w:szCs w:val="21"/>
              </w:rPr>
              <w:t>检验项目</w:t>
            </w:r>
          </w:p>
        </w:tc>
        <w:tc>
          <w:tcPr>
            <w:tcW w:w="1705" w:type="dxa"/>
            <w:vMerge w:val="restart"/>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sz w:val="21"/>
                <w:szCs w:val="21"/>
              </w:rPr>
            </w:pPr>
            <w:r>
              <w:rPr>
                <w:rFonts w:hint="eastAsia" w:ascii="宋体" w:hAnsi="宋体" w:cs="仿宋_GB2312"/>
                <w:sz w:val="21"/>
                <w:szCs w:val="21"/>
              </w:rPr>
              <w:t>依据标准</w:t>
            </w:r>
          </w:p>
        </w:tc>
        <w:tc>
          <w:tcPr>
            <w:tcW w:w="2726" w:type="dxa"/>
            <w:vMerge w:val="restart"/>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sz w:val="21"/>
                <w:szCs w:val="21"/>
              </w:rPr>
            </w:pPr>
            <w:r>
              <w:rPr>
                <w:rFonts w:hint="eastAsia" w:ascii="宋体" w:hAnsi="宋体" w:cs="仿宋_GB2312"/>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79" w:type="dxa"/>
            <w:vMerge w:val="continue"/>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sz w:val="21"/>
                <w:szCs w:val="21"/>
              </w:rPr>
            </w:pPr>
          </w:p>
        </w:tc>
        <w:tc>
          <w:tcPr>
            <w:tcW w:w="3030" w:type="dxa"/>
            <w:vMerge w:val="continue"/>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sz w:val="21"/>
                <w:szCs w:val="21"/>
              </w:rPr>
            </w:pPr>
          </w:p>
        </w:tc>
        <w:tc>
          <w:tcPr>
            <w:tcW w:w="1705" w:type="dxa"/>
            <w:vMerge w:val="continue"/>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sz w:val="21"/>
                <w:szCs w:val="21"/>
              </w:rPr>
            </w:pPr>
          </w:p>
        </w:tc>
        <w:tc>
          <w:tcPr>
            <w:tcW w:w="2726" w:type="dxa"/>
            <w:vMerge w:val="continue"/>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9"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sz w:val="21"/>
                <w:szCs w:val="21"/>
              </w:rPr>
            </w:pPr>
            <w:r>
              <w:rPr>
                <w:rFonts w:hint="eastAsia" w:ascii="宋体" w:hAnsi="宋体" w:cs="仿宋_GB2312"/>
                <w:sz w:val="21"/>
                <w:szCs w:val="21"/>
              </w:rPr>
              <w:t>1</w:t>
            </w:r>
          </w:p>
        </w:tc>
        <w:tc>
          <w:tcPr>
            <w:tcW w:w="3030"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sz w:val="21"/>
                <w:szCs w:val="21"/>
              </w:rPr>
            </w:pPr>
            <w:r>
              <w:rPr>
                <w:rFonts w:ascii="宋体" w:hAnsi="宋体"/>
                <w:sz w:val="21"/>
                <w:szCs w:val="21"/>
              </w:rPr>
              <w:t>外观尺寸</w:t>
            </w:r>
          </w:p>
        </w:tc>
        <w:tc>
          <w:tcPr>
            <w:tcW w:w="1705" w:type="dxa"/>
            <w:vMerge w:val="restart"/>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color w:val="FF0000"/>
                <w:sz w:val="21"/>
                <w:szCs w:val="21"/>
              </w:rPr>
            </w:pPr>
            <w:r>
              <w:rPr>
                <w:rFonts w:hint="eastAsia" w:ascii="宋体" w:hAnsi="宋体"/>
                <w:bCs/>
                <w:sz w:val="21"/>
                <w:szCs w:val="21"/>
              </w:rPr>
              <w:t>MT/T</w:t>
            </w:r>
            <w:r>
              <w:rPr>
                <w:rFonts w:hint="eastAsia" w:ascii="宋体" w:hAnsi="宋体"/>
                <w:bCs/>
                <w:sz w:val="21"/>
                <w:szCs w:val="21"/>
                <w:lang w:val="en-US" w:eastAsia="zh-CN"/>
              </w:rPr>
              <w:t xml:space="preserve"> </w:t>
            </w:r>
            <w:r>
              <w:rPr>
                <w:rFonts w:hint="eastAsia" w:ascii="宋体" w:hAnsi="宋体"/>
                <w:bCs/>
                <w:sz w:val="21"/>
                <w:szCs w:val="21"/>
              </w:rPr>
              <w:t>146.1</w:t>
            </w:r>
          </w:p>
        </w:tc>
        <w:tc>
          <w:tcPr>
            <w:tcW w:w="2726"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sz w:val="21"/>
                <w:szCs w:val="21"/>
              </w:rPr>
            </w:pPr>
            <w:r>
              <w:rPr>
                <w:rFonts w:hint="eastAsia" w:ascii="宋体" w:hAnsi="宋体"/>
                <w:bCs/>
                <w:sz w:val="21"/>
                <w:szCs w:val="21"/>
              </w:rPr>
              <w:t>MT/T</w:t>
            </w:r>
            <w:r>
              <w:rPr>
                <w:rFonts w:hint="eastAsia" w:ascii="宋体" w:hAnsi="宋体"/>
                <w:bCs/>
                <w:sz w:val="21"/>
                <w:szCs w:val="21"/>
                <w:lang w:val="en-US" w:eastAsia="zh-CN"/>
              </w:rPr>
              <w:t xml:space="preserve"> </w:t>
            </w:r>
            <w:r>
              <w:rPr>
                <w:rFonts w:hint="eastAsia" w:ascii="宋体" w:hAnsi="宋体"/>
                <w:bCs/>
                <w:sz w:val="21"/>
                <w:szCs w:val="21"/>
              </w:rPr>
              <w:t>146.1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9"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color w:val="FF0000"/>
                <w:sz w:val="21"/>
                <w:szCs w:val="21"/>
              </w:rPr>
            </w:pPr>
            <w:r>
              <w:rPr>
                <w:rFonts w:hint="eastAsia" w:ascii="宋体" w:hAnsi="宋体"/>
                <w:bCs/>
                <w:sz w:val="21"/>
                <w:szCs w:val="21"/>
              </w:rPr>
              <w:t>2</w:t>
            </w:r>
          </w:p>
        </w:tc>
        <w:tc>
          <w:tcPr>
            <w:tcW w:w="3030"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sz w:val="21"/>
                <w:szCs w:val="21"/>
              </w:rPr>
            </w:pPr>
            <w:r>
              <w:rPr>
                <w:rFonts w:hint="eastAsia" w:ascii="宋体" w:hAnsi="宋体"/>
                <w:bCs/>
                <w:sz w:val="21"/>
                <w:szCs w:val="21"/>
              </w:rPr>
              <w:t>树脂胶泥稠度</w:t>
            </w:r>
          </w:p>
        </w:tc>
        <w:tc>
          <w:tcPr>
            <w:tcW w:w="1705" w:type="dxa"/>
            <w:vMerge w:val="continue"/>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bCs/>
                <w:sz w:val="21"/>
                <w:szCs w:val="21"/>
              </w:rPr>
            </w:pPr>
          </w:p>
        </w:tc>
        <w:tc>
          <w:tcPr>
            <w:tcW w:w="2726"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bCs/>
                <w:sz w:val="21"/>
                <w:szCs w:val="21"/>
              </w:rPr>
            </w:pPr>
            <w:r>
              <w:rPr>
                <w:rFonts w:hint="eastAsia" w:ascii="宋体" w:hAnsi="宋体"/>
                <w:bCs/>
                <w:sz w:val="21"/>
                <w:szCs w:val="21"/>
              </w:rPr>
              <w:t>MT/T</w:t>
            </w:r>
            <w:r>
              <w:rPr>
                <w:rFonts w:hint="eastAsia" w:ascii="宋体" w:hAnsi="宋体"/>
                <w:bCs/>
                <w:sz w:val="21"/>
                <w:szCs w:val="21"/>
                <w:lang w:val="en-US" w:eastAsia="zh-CN"/>
              </w:rPr>
              <w:t xml:space="preserve"> </w:t>
            </w:r>
            <w:r>
              <w:rPr>
                <w:rFonts w:hint="eastAsia" w:ascii="宋体" w:hAnsi="宋体"/>
                <w:bCs/>
                <w:sz w:val="21"/>
                <w:szCs w:val="21"/>
              </w:rPr>
              <w:t>146.1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9"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bCs/>
                <w:sz w:val="21"/>
                <w:szCs w:val="21"/>
              </w:rPr>
            </w:pPr>
            <w:r>
              <w:rPr>
                <w:rFonts w:hint="eastAsia" w:ascii="宋体" w:hAnsi="宋体"/>
                <w:bCs/>
                <w:sz w:val="21"/>
                <w:szCs w:val="21"/>
              </w:rPr>
              <w:t>3</w:t>
            </w:r>
          </w:p>
        </w:tc>
        <w:tc>
          <w:tcPr>
            <w:tcW w:w="3030"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sz w:val="21"/>
                <w:szCs w:val="21"/>
              </w:rPr>
            </w:pPr>
            <w:r>
              <w:rPr>
                <w:rFonts w:hint="eastAsia" w:ascii="宋体" w:hAnsi="宋体"/>
                <w:bCs/>
                <w:sz w:val="21"/>
                <w:szCs w:val="21"/>
              </w:rPr>
              <w:t>凝胶时间</w:t>
            </w:r>
          </w:p>
        </w:tc>
        <w:tc>
          <w:tcPr>
            <w:tcW w:w="1705" w:type="dxa"/>
            <w:vMerge w:val="continue"/>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color w:val="FF0000"/>
                <w:sz w:val="21"/>
                <w:szCs w:val="21"/>
              </w:rPr>
            </w:pPr>
          </w:p>
        </w:tc>
        <w:tc>
          <w:tcPr>
            <w:tcW w:w="2726"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sz w:val="21"/>
                <w:szCs w:val="21"/>
              </w:rPr>
            </w:pPr>
            <w:r>
              <w:rPr>
                <w:rFonts w:hint="eastAsia" w:ascii="宋体" w:hAnsi="宋体"/>
                <w:bCs/>
                <w:sz w:val="21"/>
                <w:szCs w:val="21"/>
              </w:rPr>
              <w:t>MT/T</w:t>
            </w:r>
            <w:r>
              <w:rPr>
                <w:rFonts w:hint="eastAsia" w:ascii="宋体" w:hAnsi="宋体"/>
                <w:bCs/>
                <w:sz w:val="21"/>
                <w:szCs w:val="21"/>
                <w:lang w:val="en-US" w:eastAsia="zh-CN"/>
              </w:rPr>
              <w:t xml:space="preserve"> </w:t>
            </w:r>
            <w:r>
              <w:rPr>
                <w:rFonts w:hint="eastAsia" w:ascii="宋体" w:hAnsi="宋体"/>
                <w:bCs/>
                <w:sz w:val="21"/>
                <w:szCs w:val="21"/>
              </w:rPr>
              <w:t>146.1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9"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bCs/>
                <w:sz w:val="21"/>
                <w:szCs w:val="21"/>
              </w:rPr>
            </w:pPr>
            <w:r>
              <w:rPr>
                <w:rFonts w:hint="eastAsia" w:ascii="宋体" w:hAnsi="宋体"/>
                <w:bCs/>
                <w:sz w:val="21"/>
                <w:szCs w:val="21"/>
              </w:rPr>
              <w:t>4</w:t>
            </w:r>
          </w:p>
        </w:tc>
        <w:tc>
          <w:tcPr>
            <w:tcW w:w="3030"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sz w:val="21"/>
                <w:szCs w:val="21"/>
              </w:rPr>
            </w:pPr>
            <w:r>
              <w:rPr>
                <w:rFonts w:hint="eastAsia" w:ascii="宋体" w:hAnsi="宋体"/>
                <w:bCs/>
                <w:sz w:val="21"/>
                <w:szCs w:val="21"/>
              </w:rPr>
              <w:t>固胶比</w:t>
            </w:r>
          </w:p>
        </w:tc>
        <w:tc>
          <w:tcPr>
            <w:tcW w:w="1705" w:type="dxa"/>
            <w:vMerge w:val="continue"/>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color w:val="FF0000"/>
                <w:sz w:val="21"/>
                <w:szCs w:val="21"/>
              </w:rPr>
            </w:pPr>
          </w:p>
        </w:tc>
        <w:tc>
          <w:tcPr>
            <w:tcW w:w="2726"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sz w:val="21"/>
                <w:szCs w:val="21"/>
              </w:rPr>
            </w:pPr>
            <w:r>
              <w:rPr>
                <w:rFonts w:hint="eastAsia" w:ascii="宋体" w:hAnsi="宋体"/>
                <w:bCs/>
                <w:sz w:val="21"/>
                <w:szCs w:val="21"/>
              </w:rPr>
              <w:t>MT/T</w:t>
            </w:r>
            <w:r>
              <w:rPr>
                <w:rFonts w:hint="eastAsia" w:ascii="宋体" w:hAnsi="宋体"/>
                <w:bCs/>
                <w:sz w:val="21"/>
                <w:szCs w:val="21"/>
                <w:lang w:val="en-US" w:eastAsia="zh-CN"/>
              </w:rPr>
              <w:t xml:space="preserve"> </w:t>
            </w:r>
            <w:r>
              <w:rPr>
                <w:rFonts w:hint="eastAsia" w:ascii="宋体" w:hAnsi="宋体"/>
                <w:bCs/>
                <w:sz w:val="21"/>
                <w:szCs w:val="21"/>
              </w:rPr>
              <w:t>146.1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9"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bCs/>
                <w:sz w:val="21"/>
                <w:szCs w:val="21"/>
              </w:rPr>
            </w:pPr>
            <w:r>
              <w:rPr>
                <w:rFonts w:hint="eastAsia" w:ascii="宋体" w:hAnsi="宋体"/>
                <w:bCs/>
                <w:sz w:val="21"/>
                <w:szCs w:val="21"/>
              </w:rPr>
              <w:t>5</w:t>
            </w:r>
          </w:p>
        </w:tc>
        <w:tc>
          <w:tcPr>
            <w:tcW w:w="3030"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sz w:val="21"/>
                <w:szCs w:val="21"/>
              </w:rPr>
            </w:pPr>
            <w:r>
              <w:rPr>
                <w:rFonts w:hint="eastAsia" w:ascii="宋体" w:hAnsi="宋体"/>
                <w:bCs/>
                <w:sz w:val="21"/>
                <w:szCs w:val="21"/>
              </w:rPr>
              <w:t>锚固力</w:t>
            </w:r>
          </w:p>
        </w:tc>
        <w:tc>
          <w:tcPr>
            <w:tcW w:w="1705" w:type="dxa"/>
            <w:vMerge w:val="continue"/>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color w:val="FF0000"/>
                <w:sz w:val="21"/>
                <w:szCs w:val="21"/>
              </w:rPr>
            </w:pPr>
          </w:p>
        </w:tc>
        <w:tc>
          <w:tcPr>
            <w:tcW w:w="2726" w:type="dxa"/>
            <w:vAlign w:val="center"/>
          </w:tcPr>
          <w:p>
            <w:pPr>
              <w:keepNext w:val="0"/>
              <w:keepLines w:val="0"/>
              <w:pageBreakBefore w:val="0"/>
              <w:widowControl w:val="0"/>
              <w:kinsoku/>
              <w:wordWrap/>
              <w:overflowPunct/>
              <w:topLinePunct w:val="0"/>
              <w:bidi w:val="0"/>
              <w:spacing w:line="360" w:lineRule="auto"/>
              <w:jc w:val="center"/>
              <w:textAlignment w:val="auto"/>
              <w:rPr>
                <w:sz w:val="21"/>
                <w:szCs w:val="21"/>
              </w:rPr>
            </w:pPr>
            <w:r>
              <w:rPr>
                <w:rFonts w:hint="eastAsia" w:ascii="宋体" w:hAnsi="宋体"/>
                <w:bCs/>
                <w:sz w:val="21"/>
                <w:szCs w:val="21"/>
              </w:rPr>
              <w:t>MT/T</w:t>
            </w:r>
            <w:r>
              <w:rPr>
                <w:rFonts w:hint="eastAsia" w:ascii="宋体" w:hAnsi="宋体"/>
                <w:bCs/>
                <w:sz w:val="21"/>
                <w:szCs w:val="21"/>
                <w:lang w:val="en-US" w:eastAsia="zh-CN"/>
              </w:rPr>
              <w:t xml:space="preserve"> </w:t>
            </w:r>
            <w:r>
              <w:rPr>
                <w:rFonts w:hint="eastAsia" w:ascii="宋体" w:hAnsi="宋体"/>
                <w:bCs/>
                <w:sz w:val="21"/>
                <w:szCs w:val="21"/>
              </w:rPr>
              <w:t>146.1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9"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bCs/>
                <w:sz w:val="21"/>
                <w:szCs w:val="21"/>
              </w:rPr>
            </w:pPr>
            <w:r>
              <w:rPr>
                <w:rFonts w:hint="eastAsia" w:ascii="宋体" w:hAnsi="宋体"/>
                <w:bCs/>
                <w:sz w:val="21"/>
                <w:szCs w:val="21"/>
              </w:rPr>
              <w:t>6</w:t>
            </w:r>
          </w:p>
        </w:tc>
        <w:tc>
          <w:tcPr>
            <w:tcW w:w="3030"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sz w:val="21"/>
                <w:szCs w:val="21"/>
              </w:rPr>
            </w:pPr>
            <w:r>
              <w:rPr>
                <w:rFonts w:hint="eastAsia" w:ascii="宋体" w:hAnsi="宋体"/>
                <w:bCs/>
                <w:sz w:val="21"/>
                <w:szCs w:val="21"/>
              </w:rPr>
              <w:t>抗压强度</w:t>
            </w:r>
          </w:p>
        </w:tc>
        <w:tc>
          <w:tcPr>
            <w:tcW w:w="1705" w:type="dxa"/>
            <w:vMerge w:val="continue"/>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color w:val="FF0000"/>
                <w:sz w:val="21"/>
                <w:szCs w:val="21"/>
              </w:rPr>
            </w:pPr>
          </w:p>
        </w:tc>
        <w:tc>
          <w:tcPr>
            <w:tcW w:w="2726" w:type="dxa"/>
          </w:tcPr>
          <w:p>
            <w:pPr>
              <w:keepNext w:val="0"/>
              <w:keepLines w:val="0"/>
              <w:pageBreakBefore w:val="0"/>
              <w:widowControl w:val="0"/>
              <w:kinsoku/>
              <w:wordWrap/>
              <w:overflowPunct/>
              <w:topLinePunct w:val="0"/>
              <w:bidi w:val="0"/>
              <w:spacing w:line="360" w:lineRule="auto"/>
              <w:jc w:val="center"/>
              <w:textAlignment w:val="auto"/>
              <w:rPr>
                <w:sz w:val="21"/>
                <w:szCs w:val="21"/>
              </w:rPr>
            </w:pPr>
            <w:r>
              <w:rPr>
                <w:rFonts w:hint="eastAsia" w:ascii="宋体" w:hAnsi="宋体"/>
                <w:bCs/>
                <w:sz w:val="21"/>
                <w:szCs w:val="21"/>
              </w:rPr>
              <w:t>MT/T</w:t>
            </w:r>
            <w:r>
              <w:rPr>
                <w:rFonts w:hint="eastAsia" w:ascii="宋体" w:hAnsi="宋体"/>
                <w:bCs/>
                <w:sz w:val="21"/>
                <w:szCs w:val="21"/>
                <w:lang w:val="en-US" w:eastAsia="zh-CN"/>
              </w:rPr>
              <w:t xml:space="preserve"> </w:t>
            </w:r>
            <w:r>
              <w:rPr>
                <w:rFonts w:hint="eastAsia" w:ascii="宋体" w:hAnsi="宋体"/>
                <w:bCs/>
                <w:sz w:val="21"/>
                <w:szCs w:val="21"/>
              </w:rPr>
              <w:t>146.1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9"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bCs/>
                <w:sz w:val="21"/>
                <w:szCs w:val="21"/>
              </w:rPr>
            </w:pPr>
            <w:r>
              <w:rPr>
                <w:rFonts w:hint="eastAsia" w:ascii="宋体" w:hAnsi="宋体"/>
                <w:bCs/>
                <w:sz w:val="21"/>
                <w:szCs w:val="21"/>
              </w:rPr>
              <w:t>7</w:t>
            </w:r>
          </w:p>
        </w:tc>
        <w:tc>
          <w:tcPr>
            <w:tcW w:w="3030"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bCs/>
                <w:sz w:val="21"/>
                <w:szCs w:val="21"/>
              </w:rPr>
            </w:pPr>
            <w:r>
              <w:rPr>
                <w:rFonts w:hint="eastAsia" w:ascii="宋体" w:hAnsi="宋体"/>
                <w:bCs/>
                <w:sz w:val="21"/>
                <w:szCs w:val="21"/>
              </w:rPr>
              <w:t>热稳定性能</w:t>
            </w:r>
          </w:p>
        </w:tc>
        <w:tc>
          <w:tcPr>
            <w:tcW w:w="1705" w:type="dxa"/>
            <w:vMerge w:val="continue"/>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color w:val="FF0000"/>
                <w:sz w:val="21"/>
                <w:szCs w:val="21"/>
              </w:rPr>
            </w:pPr>
          </w:p>
        </w:tc>
        <w:tc>
          <w:tcPr>
            <w:tcW w:w="2726" w:type="dxa"/>
          </w:tcPr>
          <w:p>
            <w:pPr>
              <w:keepNext w:val="0"/>
              <w:keepLines w:val="0"/>
              <w:pageBreakBefore w:val="0"/>
              <w:widowControl w:val="0"/>
              <w:kinsoku/>
              <w:wordWrap/>
              <w:overflowPunct/>
              <w:topLinePunct w:val="0"/>
              <w:bidi w:val="0"/>
              <w:spacing w:line="360" w:lineRule="auto"/>
              <w:jc w:val="center"/>
              <w:textAlignment w:val="auto"/>
              <w:rPr>
                <w:sz w:val="21"/>
                <w:szCs w:val="21"/>
              </w:rPr>
            </w:pPr>
            <w:r>
              <w:rPr>
                <w:rFonts w:hint="eastAsia" w:ascii="宋体" w:hAnsi="宋体"/>
                <w:bCs/>
                <w:sz w:val="21"/>
                <w:szCs w:val="21"/>
              </w:rPr>
              <w:t>MT/T</w:t>
            </w:r>
            <w:r>
              <w:rPr>
                <w:rFonts w:hint="eastAsia" w:ascii="宋体" w:hAnsi="宋体"/>
                <w:bCs/>
                <w:sz w:val="21"/>
                <w:szCs w:val="21"/>
                <w:lang w:val="en-US" w:eastAsia="zh-CN"/>
              </w:rPr>
              <w:t xml:space="preserve"> </w:t>
            </w:r>
            <w:r>
              <w:rPr>
                <w:rFonts w:hint="eastAsia" w:ascii="宋体" w:hAnsi="宋体"/>
                <w:bCs/>
                <w:sz w:val="21"/>
                <w:szCs w:val="21"/>
              </w:rPr>
              <w:t>146.1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9"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bCs/>
                <w:sz w:val="21"/>
                <w:szCs w:val="21"/>
              </w:rPr>
            </w:pPr>
            <w:r>
              <w:rPr>
                <w:rFonts w:hint="eastAsia" w:ascii="宋体" w:hAnsi="宋体"/>
                <w:bCs/>
                <w:sz w:val="21"/>
                <w:szCs w:val="21"/>
              </w:rPr>
              <w:t>8</w:t>
            </w:r>
          </w:p>
        </w:tc>
        <w:tc>
          <w:tcPr>
            <w:tcW w:w="3030" w:type="dxa"/>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bCs/>
                <w:sz w:val="21"/>
                <w:szCs w:val="21"/>
              </w:rPr>
            </w:pPr>
            <w:r>
              <w:rPr>
                <w:rFonts w:hint="eastAsia" w:ascii="宋体" w:hAnsi="宋体"/>
                <w:bCs/>
                <w:sz w:val="21"/>
                <w:szCs w:val="21"/>
              </w:rPr>
              <w:t>抗拔力</w:t>
            </w:r>
          </w:p>
        </w:tc>
        <w:tc>
          <w:tcPr>
            <w:tcW w:w="1705" w:type="dxa"/>
            <w:vMerge w:val="continue"/>
            <w:vAlign w:val="center"/>
          </w:tcPr>
          <w:p>
            <w:pPr>
              <w:keepNext w:val="0"/>
              <w:keepLines w:val="0"/>
              <w:pageBreakBefore w:val="0"/>
              <w:widowControl w:val="0"/>
              <w:kinsoku/>
              <w:wordWrap/>
              <w:overflowPunct/>
              <w:topLinePunct w:val="0"/>
              <w:bidi w:val="0"/>
              <w:spacing w:line="360" w:lineRule="auto"/>
              <w:jc w:val="center"/>
              <w:textAlignment w:val="auto"/>
              <w:rPr>
                <w:rFonts w:ascii="宋体" w:hAnsi="宋体" w:cs="仿宋_GB2312"/>
                <w:color w:val="FF0000"/>
                <w:sz w:val="21"/>
                <w:szCs w:val="21"/>
              </w:rPr>
            </w:pPr>
          </w:p>
        </w:tc>
        <w:tc>
          <w:tcPr>
            <w:tcW w:w="2726" w:type="dxa"/>
          </w:tcPr>
          <w:p>
            <w:pPr>
              <w:keepNext w:val="0"/>
              <w:keepLines w:val="0"/>
              <w:pageBreakBefore w:val="0"/>
              <w:widowControl w:val="0"/>
              <w:kinsoku/>
              <w:wordWrap/>
              <w:overflowPunct/>
              <w:topLinePunct w:val="0"/>
              <w:bidi w:val="0"/>
              <w:spacing w:line="360" w:lineRule="auto"/>
              <w:jc w:val="center"/>
              <w:textAlignment w:val="auto"/>
              <w:rPr>
                <w:rFonts w:ascii="宋体" w:hAnsi="宋体"/>
                <w:bCs/>
                <w:sz w:val="21"/>
                <w:szCs w:val="21"/>
              </w:rPr>
            </w:pPr>
            <w:r>
              <w:rPr>
                <w:rFonts w:hint="eastAsia" w:ascii="宋体" w:hAnsi="宋体"/>
                <w:bCs/>
                <w:sz w:val="21"/>
                <w:szCs w:val="21"/>
              </w:rPr>
              <w:t>MT/T</w:t>
            </w:r>
            <w:r>
              <w:rPr>
                <w:rFonts w:hint="eastAsia" w:ascii="宋体" w:hAnsi="宋体"/>
                <w:bCs/>
                <w:sz w:val="21"/>
                <w:szCs w:val="21"/>
                <w:lang w:val="en-US" w:eastAsia="zh-CN"/>
              </w:rPr>
              <w:t xml:space="preserve"> </w:t>
            </w:r>
            <w:r>
              <w:rPr>
                <w:rFonts w:hint="eastAsia" w:ascii="宋体" w:hAnsi="宋体"/>
                <w:bCs/>
                <w:sz w:val="21"/>
                <w:szCs w:val="21"/>
              </w:rPr>
              <w:t>146.1</w:t>
            </w:r>
          </w:p>
        </w:tc>
      </w:tr>
    </w:tbl>
    <w:p>
      <w:pPr>
        <w:keepNext w:val="0"/>
        <w:keepLines w:val="0"/>
        <w:pageBreakBefore w:val="0"/>
        <w:widowControl w:val="0"/>
        <w:kinsoku/>
        <w:wordWrap/>
        <w:overflowPunct/>
        <w:topLinePunct w:val="0"/>
        <w:bidi w:val="0"/>
        <w:spacing w:before="60" w:line="360" w:lineRule="auto"/>
        <w:ind w:firstLine="420" w:firstLineChars="200"/>
        <w:jc w:val="left"/>
        <w:textAlignment w:val="auto"/>
        <w:rPr>
          <w:rFonts w:ascii="宋体" w:hAnsi="宋体" w:eastAsia="宋体" w:cs="宋体"/>
        </w:rPr>
      </w:pPr>
      <w:r>
        <w:rPr>
          <w:rFonts w:hint="eastAsia" w:ascii="宋体" w:hAnsi="宋体" w:eastAsia="宋体" w:cs="宋体"/>
        </w:rPr>
        <w:t>注：上表所列检验项目是有关法律法规、标准等规定的，重点涉及健康、安全、节能、环保以及消费者、有关组织反映有质量问题的重要项目。</w:t>
      </w:r>
    </w:p>
    <w:p>
      <w:pPr>
        <w:keepNext w:val="0"/>
        <w:keepLines w:val="0"/>
        <w:pageBreakBefore w:val="0"/>
        <w:widowControl w:val="0"/>
        <w:kinsoku/>
        <w:wordWrap/>
        <w:overflowPunct/>
        <w:topLinePunct w:val="0"/>
        <w:bidi w:val="0"/>
        <w:spacing w:before="60" w:line="360" w:lineRule="auto"/>
        <w:ind w:firstLine="420" w:firstLineChars="200"/>
        <w:jc w:val="left"/>
        <w:textAlignment w:val="auto"/>
        <w:rPr>
          <w:rFonts w:ascii="宋体" w:hAnsi="宋体" w:eastAsia="宋体" w:cs="宋体"/>
        </w:rPr>
      </w:pPr>
      <w:r>
        <w:rPr>
          <w:rFonts w:hint="eastAsia" w:ascii="宋体" w:hAnsi="宋体" w:eastAsia="宋体" w:cs="宋体"/>
        </w:rPr>
        <w:t>执行企业标准、团体标准、地方标准的产品，检验项目参照上述内容执行。</w:t>
      </w:r>
    </w:p>
    <w:p>
      <w:pPr>
        <w:keepNext w:val="0"/>
        <w:keepLines w:val="0"/>
        <w:pageBreakBefore w:val="0"/>
        <w:widowControl w:val="0"/>
        <w:kinsoku/>
        <w:wordWrap/>
        <w:overflowPunct/>
        <w:topLinePunct w:val="0"/>
        <w:bidi w:val="0"/>
        <w:spacing w:before="60" w:line="360" w:lineRule="auto"/>
        <w:ind w:firstLine="420" w:firstLineChars="200"/>
        <w:jc w:val="left"/>
        <w:textAlignment w:val="auto"/>
        <w:rPr>
          <w:rFonts w:ascii="宋体" w:hAnsi="宋体" w:eastAsia="宋体" w:cs="宋体"/>
        </w:rPr>
      </w:pPr>
      <w:r>
        <w:rPr>
          <w:rFonts w:hint="eastAsia" w:ascii="宋体" w:hAnsi="宋体" w:eastAsia="宋体" w:cs="宋体"/>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bidi w:val="0"/>
        <w:snapToGrid w:val="0"/>
        <w:spacing w:line="360" w:lineRule="auto"/>
        <w:textAlignment w:val="auto"/>
        <w:rPr>
          <w:rFonts w:ascii="黑体" w:hAnsi="宋体" w:eastAsia="黑体"/>
          <w:b w:val="0"/>
          <w:bCs/>
          <w:color w:val="000000"/>
          <w:sz w:val="21"/>
          <w:szCs w:val="21"/>
        </w:rPr>
      </w:pPr>
      <w:r>
        <w:rPr>
          <w:rFonts w:hint="eastAsia" w:ascii="黑体" w:hAnsi="宋体" w:eastAsia="黑体"/>
          <w:b w:val="0"/>
          <w:bCs/>
          <w:color w:val="000000"/>
          <w:sz w:val="21"/>
          <w:szCs w:val="21"/>
          <w:lang w:val="en-US" w:eastAsia="zh-CN"/>
        </w:rPr>
        <w:t>3.</w:t>
      </w:r>
      <w:r>
        <w:rPr>
          <w:rFonts w:hint="eastAsia" w:ascii="黑体" w:hAnsi="宋体" w:eastAsia="黑体"/>
          <w:b w:val="0"/>
          <w:bCs/>
          <w:color w:val="000000"/>
          <w:sz w:val="21"/>
          <w:szCs w:val="21"/>
        </w:rPr>
        <w:t>判定规则</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hAnsi="宋体"/>
          <w:color w:val="000000"/>
          <w:sz w:val="21"/>
          <w:szCs w:val="21"/>
        </w:rPr>
      </w:pPr>
      <w:r>
        <w:rPr>
          <w:rFonts w:hint="eastAsia" w:ascii="宋体" w:hAnsi="宋体"/>
          <w:color w:val="000000"/>
          <w:sz w:val="21"/>
          <w:szCs w:val="21"/>
          <w:lang w:val="en-US" w:eastAsia="zh-CN"/>
        </w:rPr>
        <w:t>3</w:t>
      </w:r>
      <w:r>
        <w:rPr>
          <w:rFonts w:hint="eastAsia" w:ascii="宋体" w:hAnsi="宋体"/>
          <w:color w:val="000000"/>
          <w:sz w:val="21"/>
          <w:szCs w:val="21"/>
        </w:rPr>
        <w:t>.1标准依据</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sz w:val="21"/>
          <w:szCs w:val="21"/>
        </w:rPr>
      </w:pPr>
      <w:r>
        <w:rPr>
          <w:rFonts w:hint="eastAsia" w:ascii="宋体" w:hAnsi="宋体"/>
          <w:sz w:val="21"/>
          <w:szCs w:val="21"/>
        </w:rPr>
        <w:t>MT/T</w:t>
      </w:r>
      <w:r>
        <w:rPr>
          <w:rFonts w:hint="eastAsia" w:ascii="宋体" w:hAnsi="宋体"/>
          <w:sz w:val="21"/>
          <w:szCs w:val="21"/>
          <w:lang w:val="en-US" w:eastAsia="zh-CN"/>
        </w:rPr>
        <w:t xml:space="preserve"> </w:t>
      </w:r>
      <w:r>
        <w:rPr>
          <w:rFonts w:hint="eastAsia" w:ascii="宋体" w:hAnsi="宋体"/>
          <w:sz w:val="21"/>
          <w:szCs w:val="21"/>
        </w:rPr>
        <w:t>146.1-2011 树脂锚杆第1部分：锚固剂</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hAnsi="宋体" w:eastAsia="宋体"/>
          <w:sz w:val="21"/>
          <w:szCs w:val="21"/>
        </w:rPr>
      </w:pPr>
      <w:r>
        <w:rPr>
          <w:rFonts w:hint="eastAsia" w:ascii="宋体" w:hAnsi="宋体"/>
          <w:sz w:val="21"/>
          <w:szCs w:val="21"/>
        </w:rPr>
        <w:t>相关的法律行政法规、部门规章、规范性文件</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rPr>
      </w:pPr>
      <w:r>
        <w:rPr>
          <w:rFonts w:hint="eastAsia" w:ascii="宋体" w:hAnsi="宋体"/>
          <w:sz w:val="21"/>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Times New Roman" w:hAnsi="Times New Roman" w:eastAsia="宋体" w:cs="Times New Roman"/>
          <w:szCs w:val="21"/>
        </w:rPr>
      </w:pPr>
      <w:r>
        <w:rPr>
          <w:rFonts w:hint="eastAsia" w:ascii="Times New Roman" w:hAnsi="Times New Roman" w:eastAsia="宋体" w:cs="Times New Roman"/>
          <w:szCs w:val="21"/>
        </w:rPr>
        <w:t>3.2判定原则</w:t>
      </w:r>
    </w:p>
    <w:p>
      <w:pPr>
        <w:keepNext w:val="0"/>
        <w:keepLines w:val="0"/>
        <w:pageBreakBefore w:val="0"/>
        <w:widowControl w:val="0"/>
        <w:kinsoku/>
        <w:wordWrap/>
        <w:overflowPunct/>
        <w:topLinePunct w:val="0"/>
        <w:autoSpaceDE w:val="0"/>
        <w:autoSpaceDN w:val="0"/>
        <w:bidi w:val="0"/>
        <w:spacing w:line="360" w:lineRule="auto"/>
        <w:ind w:firstLine="420" w:firstLineChars="200"/>
        <w:textAlignment w:val="auto"/>
        <w:rPr>
          <w:rFonts w:ascii="宋体" w:hAnsi="宋体" w:eastAsia="宋体" w:cs="宋体"/>
        </w:rPr>
      </w:pPr>
      <w:r>
        <w:rPr>
          <w:rFonts w:hint="eastAsia" w:ascii="宋体" w:hAnsi="宋体" w:eastAsia="宋体" w:cs="宋体"/>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val="0"/>
        <w:autoSpaceDN w:val="0"/>
        <w:bidi w:val="0"/>
        <w:spacing w:line="360" w:lineRule="auto"/>
        <w:ind w:firstLine="420" w:firstLineChars="200"/>
        <w:textAlignment w:val="auto"/>
        <w:rPr>
          <w:rFonts w:ascii="宋体" w:hAnsi="宋体" w:eastAsia="宋体" w:cs="宋体"/>
        </w:rPr>
      </w:pPr>
      <w:r>
        <w:rPr>
          <w:rFonts w:hint="eastAsia" w:ascii="宋体" w:hAnsi="宋体" w:eastAsia="宋体" w:cs="宋体"/>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val="0"/>
        <w:autoSpaceDN w:val="0"/>
        <w:bidi w:val="0"/>
        <w:spacing w:line="360" w:lineRule="auto"/>
        <w:ind w:firstLine="420" w:firstLineChars="200"/>
        <w:textAlignment w:val="auto"/>
        <w:rPr>
          <w:rFonts w:ascii="宋体" w:hAnsi="宋体" w:eastAsia="宋体" w:cs="宋体"/>
        </w:rPr>
      </w:pPr>
      <w:r>
        <w:rPr>
          <w:rFonts w:hint="eastAsia" w:ascii="宋体" w:hAnsi="宋体" w:eastAsia="宋体" w:cs="宋体"/>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val="0"/>
        <w:autoSpaceDN w:val="0"/>
        <w:bidi w:val="0"/>
        <w:spacing w:line="360" w:lineRule="auto"/>
        <w:ind w:firstLine="420" w:firstLineChars="200"/>
        <w:textAlignment w:val="auto"/>
        <w:rPr>
          <w:rFonts w:ascii="宋体" w:hAnsi="宋体" w:eastAsia="宋体" w:cs="宋体"/>
        </w:rPr>
      </w:pPr>
      <w:r>
        <w:rPr>
          <w:rFonts w:hint="eastAsia" w:ascii="宋体" w:hAnsi="宋体" w:eastAsia="宋体" w:cs="宋体"/>
        </w:rPr>
        <w:t>若被检产品明示的质量要求低于或包含细则中检验项目依据的推荐性标准要求时，应以被检产品明示的质量要求判定，但应在检验报告备注中进行说明。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val="0"/>
        <w:autoSpaceDN w:val="0"/>
        <w:bidi w:val="0"/>
        <w:spacing w:line="360" w:lineRule="auto"/>
        <w:ind w:firstLine="420" w:firstLineChars="200"/>
        <w:textAlignment w:val="auto"/>
        <w:rPr>
          <w:rFonts w:ascii="宋体" w:hAnsi="宋体" w:eastAsia="宋体" w:cs="宋体"/>
        </w:rPr>
      </w:pPr>
      <w:r>
        <w:rPr>
          <w:rFonts w:hint="eastAsia" w:ascii="宋体" w:hAnsi="宋体" w:eastAsia="宋体" w:cs="宋体"/>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val="0"/>
        <w:autoSpaceDN w:val="0"/>
        <w:bidi w:val="0"/>
        <w:spacing w:line="360" w:lineRule="auto"/>
        <w:ind w:firstLine="420" w:firstLineChars="200"/>
        <w:textAlignment w:val="auto"/>
        <w:rPr>
          <w:rFonts w:ascii="宋体" w:hAnsi="宋体" w:eastAsia="宋体" w:cs="宋体"/>
        </w:rPr>
      </w:pPr>
      <w:r>
        <w:rPr>
          <w:rFonts w:hint="eastAsia" w:ascii="宋体" w:hAnsi="宋体" w:eastAsia="宋体" w:cs="宋体"/>
        </w:rPr>
        <w:t>若被检产品明示的质量要求缺少本细则中检验项目依据的推荐性标准要求时，该项目不参与判定，但应在检验报告备注中进行说明。</w:t>
      </w:r>
    </w:p>
    <w:p>
      <w:pPr>
        <w:keepNext w:val="0"/>
        <w:keepLines w:val="0"/>
        <w:pageBreakBefore w:val="0"/>
        <w:widowControl w:val="0"/>
        <w:kinsoku/>
        <w:wordWrap/>
        <w:overflowPunct/>
        <w:topLinePunct w:val="0"/>
        <w:bidi w:val="0"/>
        <w:adjustRightInd w:val="0"/>
        <w:snapToGrid w:val="0"/>
        <w:spacing w:line="360" w:lineRule="auto"/>
        <w:textAlignment w:val="auto"/>
        <w:rPr>
          <w:rFonts w:ascii="Times New Roman" w:hAnsi="Times New Roman" w:eastAsia="黑体" w:cs="Times New Roman"/>
          <w:szCs w:val="21"/>
        </w:rPr>
      </w:pPr>
      <w:r>
        <w:rPr>
          <w:rFonts w:hint="eastAsia" w:ascii="Times New Roman" w:hAnsi="Times New Roman" w:eastAsia="黑体" w:cs="Times New Roman"/>
          <w:szCs w:val="21"/>
        </w:rPr>
        <w:t>4 异议复检</w:t>
      </w:r>
    </w:p>
    <w:p>
      <w:pPr>
        <w:keepNext w:val="0"/>
        <w:keepLines w:val="0"/>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本细则中确定的全部检验项目，采用备用样品进行复检。</w:t>
      </w:r>
    </w:p>
    <w:p>
      <w:pPr>
        <w:keepNext w:val="0"/>
        <w:keepLines w:val="0"/>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rPr>
      </w:pPr>
    </w:p>
    <w:p>
      <w:pPr>
        <w:keepNext w:val="0"/>
        <w:keepLines w:val="0"/>
        <w:pageBreakBefore w:val="0"/>
        <w:widowControl w:val="0"/>
        <w:kinsoku/>
        <w:wordWrap/>
        <w:overflowPunct/>
        <w:topLinePunct w:val="0"/>
        <w:autoSpaceDE w:val="0"/>
        <w:autoSpaceDN w:val="0"/>
        <w:bidi w:val="0"/>
        <w:spacing w:line="360" w:lineRule="auto"/>
        <w:ind w:firstLine="420" w:firstLineChars="200"/>
        <w:jc w:val="center"/>
        <w:textAlignment w:val="auto"/>
        <w:rPr>
          <w:rFonts w:hint="default" w:ascii="宋体" w:hAnsi="宋体" w:eastAsia="宋体" w:cs="宋体"/>
          <w:lang w:val="en-US" w:eastAsia="zh-CN"/>
        </w:rPr>
      </w:pPr>
      <w:r>
        <w:rPr>
          <w:rFonts w:hint="eastAsia" w:ascii="宋体" w:hAnsi="宋体" w:cs="宋体"/>
          <w:lang w:val="en-US" w:eastAsia="zh-CN"/>
        </w:rPr>
        <w:t>____________________________________________</w:t>
      </w:r>
    </w:p>
    <w:p>
      <w:pPr>
        <w:keepNext w:val="0"/>
        <w:keepLines w:val="0"/>
        <w:pageBreakBefore w:val="0"/>
        <w:widowControl w:val="0"/>
        <w:kinsoku/>
        <w:wordWrap/>
        <w:overflowPunct/>
        <w:topLinePunct w:val="0"/>
        <w:bidi w:val="0"/>
        <w:spacing w:line="360" w:lineRule="auto"/>
        <w:textAlignment w:val="auto"/>
        <w:rPr>
          <w:rFonts w:ascii="新宋体" w:hAnsi="新宋体" w:eastAsia="新宋体" w:cs="宋体"/>
          <w:sz w:val="24"/>
          <w:szCs w:val="24"/>
        </w:rPr>
      </w:pPr>
    </w:p>
    <w:p>
      <w:pPr>
        <w:keepNext w:val="0"/>
        <w:keepLines w:val="0"/>
        <w:pageBreakBefore w:val="0"/>
        <w:widowControl w:val="0"/>
        <w:kinsoku/>
        <w:wordWrap/>
        <w:overflowPunct/>
        <w:topLinePunct w:val="0"/>
        <w:bidi w:val="0"/>
        <w:spacing w:line="360" w:lineRule="auto"/>
        <w:textAlignment w:val="auto"/>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D7ABE"/>
    <w:multiLevelType w:val="singleLevel"/>
    <w:tmpl w:val="ED4D7ABE"/>
    <w:lvl w:ilvl="0" w:tentative="0">
      <w:start w:val="2"/>
      <w:numFmt w:val="decimal"/>
      <w:lvlText w:val="%1."/>
      <w:lvlJc w:val="left"/>
      <w:pPr>
        <w:tabs>
          <w:tab w:val="left" w:pos="312"/>
        </w:tabs>
      </w:pPr>
    </w:lvl>
  </w:abstractNum>
  <w:abstractNum w:abstractNumId="1">
    <w:nsid w:val="15FD2C4F"/>
    <w:multiLevelType w:val="singleLevel"/>
    <w:tmpl w:val="15FD2C4F"/>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FhMjhiZGU4MTNkZDdhMjM5N2MyZDMwYTNjY2Q3OTMifQ=="/>
  </w:docVars>
  <w:rsids>
    <w:rsidRoot w:val="009C33A7"/>
    <w:rsid w:val="000E5DE1"/>
    <w:rsid w:val="002D76C3"/>
    <w:rsid w:val="003819D5"/>
    <w:rsid w:val="00401A82"/>
    <w:rsid w:val="004C5934"/>
    <w:rsid w:val="0059249E"/>
    <w:rsid w:val="00597075"/>
    <w:rsid w:val="00973A60"/>
    <w:rsid w:val="009C33A7"/>
    <w:rsid w:val="00A66D35"/>
    <w:rsid w:val="00A823F0"/>
    <w:rsid w:val="00C10358"/>
    <w:rsid w:val="00DA4A64"/>
    <w:rsid w:val="00ED61C1"/>
    <w:rsid w:val="00F11663"/>
    <w:rsid w:val="00FD708D"/>
    <w:rsid w:val="00FE1E71"/>
    <w:rsid w:val="1EDF2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semiHidden/>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列出段落7"/>
    <w:basedOn w:val="1"/>
    <w:qFormat/>
    <w:uiPriority w:val="0"/>
    <w:pPr>
      <w:ind w:firstLine="420" w:firstLineChars="200"/>
    </w:pPr>
    <w:rPr>
      <w:rFonts w:cs="Calibri"/>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189</Words>
  <Characters>1080</Characters>
  <Lines>9</Lines>
  <Paragraphs>2</Paragraphs>
  <TotalTime>1</TotalTime>
  <ScaleCrop>false</ScaleCrop>
  <LinksUpToDate>false</LinksUpToDate>
  <CharactersWithSpaces>1267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2021-06-22T06:11:00Z</dcterms:created>
  <dc:creator>Windows 用户</dc:creator>
  <cp:lastModifiedBy>森思孰虑</cp:lastModifiedBy>
  <dcterms:modified xsi:type="dcterms:W3CDTF">2024-01-04T03:03:32Z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8906C58DCB7643538742E6C9194D0EFE_12</vt:lpwstr>
  </property>
</Properties>
</file>